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6D7E3FA6" w14:textId="77777777" w:rsidTr="00D20BC5">
        <w:trPr>
          <w:trHeight w:val="1530"/>
        </w:trPr>
        <w:tc>
          <w:tcPr>
            <w:tcW w:w="10682" w:type="dxa"/>
            <w:gridSpan w:val="2"/>
            <w:vAlign w:val="center"/>
          </w:tcPr>
          <w:p w14:paraId="1A1BAE2B" w14:textId="77777777" w:rsidR="00487FAB" w:rsidRDefault="00487FAB" w:rsidP="00D20BC5">
            <w:pPr>
              <w:pStyle w:val="NoSpacing"/>
              <w:rPr>
                <w:rFonts w:cs="Arial"/>
                <w:b/>
                <w:szCs w:val="22"/>
              </w:rPr>
            </w:pPr>
          </w:p>
          <w:p w14:paraId="32F560CB" w14:textId="77777777" w:rsidR="00487FAB" w:rsidRDefault="00487FAB" w:rsidP="00D20BC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584E72">
              <w:rPr>
                <w:rFonts w:cs="Arial"/>
                <w:b/>
                <w:sz w:val="28"/>
              </w:rPr>
              <w:t>ROSE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0A8F15EE" w14:textId="77777777" w:rsidR="00487FAB" w:rsidRDefault="00584E72" w:rsidP="00D20BC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Row Town, Addlestone</w:t>
            </w:r>
          </w:p>
          <w:p w14:paraId="2E48F832" w14:textId="77777777" w:rsidR="00487FAB" w:rsidRDefault="00584E72" w:rsidP="00D20BC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Surrey KT15 1HN</w:t>
            </w:r>
          </w:p>
          <w:p w14:paraId="40665A80" w14:textId="77777777" w:rsidR="00487FAB" w:rsidRDefault="00487FAB" w:rsidP="00D20BC5">
            <w:pPr>
              <w:pStyle w:val="NoSpacing"/>
              <w:rPr>
                <w:rFonts w:cs="Arial"/>
                <w:b/>
                <w:szCs w:val="22"/>
              </w:rPr>
            </w:pPr>
          </w:p>
          <w:p w14:paraId="31AAAD27" w14:textId="77777777" w:rsidR="00487FAB" w:rsidRDefault="00487FAB" w:rsidP="00D20BC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</w:t>
            </w:r>
            <w:r w:rsidR="00F047AE">
              <w:rPr>
                <w:rFonts w:cs="Arial"/>
                <w:b/>
                <w:szCs w:val="22"/>
              </w:rPr>
              <w:t>sidential</w:t>
            </w:r>
            <w:r>
              <w:rPr>
                <w:rFonts w:cs="Arial"/>
                <w:b/>
                <w:szCs w:val="22"/>
              </w:rPr>
              <w:t xml:space="preserve"> Park for 50+</w:t>
            </w:r>
          </w:p>
          <w:p w14:paraId="7BC18409" w14:textId="77777777" w:rsidR="00487FAB" w:rsidRDefault="00487FAB" w:rsidP="00D20BC5">
            <w:pPr>
              <w:pStyle w:val="NoSpacing"/>
              <w:rPr>
                <w:rFonts w:cs="Arial"/>
                <w:b/>
                <w:szCs w:val="22"/>
              </w:rPr>
            </w:pPr>
          </w:p>
          <w:p w14:paraId="49F3496D" w14:textId="77777777" w:rsidR="00487FAB" w:rsidRDefault="00584E72" w:rsidP="00D20BC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72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A95E99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A95E99">
              <w:rPr>
                <w:rFonts w:cs="Arial"/>
                <w:b/>
                <w:szCs w:val="22"/>
              </w:rPr>
              <w:t>approx</w:t>
            </w:r>
            <w:proofErr w:type="spellEnd"/>
            <w:r w:rsidR="00A95E99">
              <w:rPr>
                <w:rFonts w:cs="Arial"/>
                <w:b/>
                <w:szCs w:val="22"/>
              </w:rPr>
              <w:t>)</w:t>
            </w:r>
          </w:p>
          <w:p w14:paraId="1554B3B1" w14:textId="77777777" w:rsidR="00487FAB" w:rsidRPr="00AB0FDB" w:rsidRDefault="00487FAB" w:rsidP="00D20BC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B46ABD" wp14:editId="286FAC7A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22CF2451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1F5CC5E8" w14:textId="77777777" w:rsidR="00487FAB" w:rsidRPr="00C130D6" w:rsidRDefault="009420C8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Assistant</w:t>
            </w:r>
          </w:p>
        </w:tc>
        <w:tc>
          <w:tcPr>
            <w:tcW w:w="8594" w:type="dxa"/>
            <w:vAlign w:val="center"/>
          </w:tcPr>
          <w:p w14:paraId="45211FD6" w14:textId="77777777" w:rsidR="00487FAB" w:rsidRDefault="00852C8F" w:rsidP="00584E7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Denise Blackwell</w:t>
            </w:r>
            <w:r w:rsidR="00396A91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584E72">
              <w:rPr>
                <w:rFonts w:cs="Arial"/>
              </w:rPr>
              <w:t>932 872108</w:t>
            </w:r>
          </w:p>
        </w:tc>
      </w:tr>
      <w:tr w:rsidR="00487FAB" w14:paraId="704407CA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7FB10D84" w14:textId="77777777" w:rsidR="00487FAB" w:rsidRPr="00C130D6" w:rsidRDefault="00487FAB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466075D7" w14:textId="77777777" w:rsidR="00487FAB" w:rsidRDefault="004112C2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– Tues</w:t>
            </w:r>
            <w:r w:rsidR="00133830">
              <w:rPr>
                <w:rFonts w:cs="Arial"/>
              </w:rPr>
              <w:t>day</w:t>
            </w:r>
            <w:r>
              <w:rPr>
                <w:rFonts w:cs="Arial"/>
              </w:rPr>
              <w:t xml:space="preserve"> &amp; Thurs</w:t>
            </w:r>
            <w:r w:rsidR="00133830">
              <w:rPr>
                <w:rFonts w:cs="Arial"/>
              </w:rPr>
              <w:t>day</w:t>
            </w:r>
            <w:r>
              <w:rPr>
                <w:rFonts w:cs="Arial"/>
              </w:rPr>
              <w:t xml:space="preserve"> – </w:t>
            </w:r>
            <w:r w:rsidR="008E4921">
              <w:rPr>
                <w:rFonts w:cs="Arial"/>
              </w:rPr>
              <w:t>Friday</w:t>
            </w:r>
            <w:r w:rsidR="008E4921">
              <w:rPr>
                <w:rFonts w:cs="Arial"/>
              </w:rPr>
              <w:tab/>
              <w:t xml:space="preserve">9.00 </w:t>
            </w:r>
            <w:proofErr w:type="gramStart"/>
            <w:r w:rsidR="008E4921">
              <w:rPr>
                <w:rFonts w:cs="Arial"/>
              </w:rPr>
              <w:t>am</w:t>
            </w:r>
            <w:proofErr w:type="gramEnd"/>
            <w:r w:rsidR="008E4921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2</w:t>
            </w:r>
            <w:r w:rsidR="008E4921">
              <w:rPr>
                <w:rFonts w:cs="Arial"/>
              </w:rPr>
              <w:t>.00 pm</w:t>
            </w:r>
          </w:p>
          <w:p w14:paraId="7D95A0BA" w14:textId="77777777" w:rsidR="00487FAB" w:rsidRDefault="00487FAB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7CFB23E3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7CEBB2E9" w14:textId="77777777" w:rsidR="00487FAB" w:rsidRPr="00AB0FDB" w:rsidRDefault="00487FAB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793B8F73" w14:textId="72ECB35A" w:rsidR="00487FAB" w:rsidRDefault="00634C1C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BD563C">
              <w:rPr>
                <w:rFonts w:cs="Arial"/>
              </w:rPr>
              <w:t xml:space="preserve">park office or by </w:t>
            </w:r>
            <w:r w:rsidR="00272023">
              <w:rPr>
                <w:rFonts w:cs="Arial"/>
              </w:rPr>
              <w:t>Direct Debit/Standing Order.</w:t>
            </w:r>
            <w:r w:rsidR="00DA3761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06D52A42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499CB812" w14:textId="77777777" w:rsidR="00487FAB" w:rsidRPr="00AB0FDB" w:rsidRDefault="00487FAB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1C4E6714" w14:textId="3923A6CE" w:rsidR="00487FAB" w:rsidRDefault="00A77E85" w:rsidP="003E6EA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Single homes Band A</w:t>
            </w:r>
            <w:r w:rsidR="00576BA8">
              <w:rPr>
                <w:rFonts w:cs="Arial"/>
              </w:rPr>
              <w:t>.  Twin homes B</w:t>
            </w:r>
            <w:r>
              <w:rPr>
                <w:rFonts w:cs="Arial"/>
              </w:rPr>
              <w:t>and B</w:t>
            </w:r>
            <w:r w:rsidR="00576BA8">
              <w:rPr>
                <w:rFonts w:cs="Arial"/>
              </w:rPr>
              <w:t>.</w:t>
            </w:r>
          </w:p>
        </w:tc>
      </w:tr>
      <w:tr w:rsidR="00487FAB" w14:paraId="09F5922D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3AC2DE19" w14:textId="77777777" w:rsidR="00487FAB" w:rsidRPr="00AB0FDB" w:rsidRDefault="00487FAB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60CF40CB" w14:textId="77777777" w:rsidR="00487FAB" w:rsidRDefault="00917479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water charged direct by supplier.</w:t>
            </w:r>
          </w:p>
        </w:tc>
      </w:tr>
      <w:tr w:rsidR="000B580A" w14:paraId="250CA999" w14:textId="77777777" w:rsidTr="000B580A">
        <w:trPr>
          <w:trHeight w:val="864"/>
        </w:trPr>
        <w:tc>
          <w:tcPr>
            <w:tcW w:w="2088" w:type="dxa"/>
            <w:vAlign w:val="center"/>
          </w:tcPr>
          <w:p w14:paraId="2CF58770" w14:textId="77777777" w:rsidR="000B580A" w:rsidRPr="00AB0FDB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6259AB47" w14:textId="23CE5A22" w:rsidR="000B580A" w:rsidRDefault="000B580A" w:rsidP="00824D2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BA60F0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</w:t>
            </w:r>
            <w:r w:rsidR="00634C1C">
              <w:rPr>
                <w:rFonts w:cs="Arial"/>
              </w:rPr>
              <w:t>available via your own supplier.</w:t>
            </w:r>
          </w:p>
        </w:tc>
      </w:tr>
      <w:tr w:rsidR="000B580A" w14:paraId="55E30DFE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71D30E26" w14:textId="77777777" w:rsidR="000B580A" w:rsidRPr="00AB0FDB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48D2B127" w14:textId="7C28F213" w:rsidR="000B580A" w:rsidRDefault="000E2D56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272023">
              <w:rPr>
                <w:rFonts w:cs="Arial"/>
              </w:rPr>
              <w:t>Direct Debit/Standing Order.</w:t>
            </w:r>
          </w:p>
        </w:tc>
      </w:tr>
      <w:tr w:rsidR="000B580A" w14:paraId="351A6F32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029CA78A" w14:textId="77777777" w:rsidR="000B580A" w:rsidRPr="00AB0FDB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4ED3F994" w14:textId="77777777" w:rsidR="000B580A" w:rsidRDefault="000B580A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0B580A" w14:paraId="78E0AAC3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5228A622" w14:textId="77777777" w:rsidR="000B580A" w:rsidRPr="00AB0FDB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C7A3F70" w14:textId="0BF0AC3F" w:rsidR="000B580A" w:rsidRDefault="00BF42F3" w:rsidP="00634C1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0B580A">
              <w:rPr>
                <w:rFonts w:cs="Arial"/>
              </w:rPr>
              <w:t xml:space="preserve">ets </w:t>
            </w:r>
            <w:r w:rsidR="00BF4730">
              <w:rPr>
                <w:rFonts w:cs="Arial"/>
              </w:rPr>
              <w:t>accepted – 1 dog or 1 cat</w:t>
            </w:r>
          </w:p>
        </w:tc>
      </w:tr>
      <w:tr w:rsidR="000B580A" w14:paraId="6450E3E1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5E03FD70" w14:textId="77777777" w:rsidR="000B580A" w:rsidRPr="00016640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A1EA29A" w14:textId="77777777" w:rsidR="000B580A" w:rsidRDefault="000B580A" w:rsidP="00576BA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are emptied every other </w:t>
            </w:r>
            <w:r w:rsidR="00742BE1">
              <w:rPr>
                <w:rFonts w:cs="Arial"/>
              </w:rPr>
              <w:t>Friday and recycling boxes alternate</w:t>
            </w:r>
            <w:r>
              <w:rPr>
                <w:rFonts w:cs="Arial"/>
              </w:rPr>
              <w:t xml:space="preserve"> Friday</w:t>
            </w:r>
            <w:r w:rsidR="00742BE1">
              <w:rPr>
                <w:rFonts w:cs="Arial"/>
              </w:rPr>
              <w:t>s</w:t>
            </w:r>
            <w:r>
              <w:rPr>
                <w:rFonts w:cs="Arial"/>
              </w:rPr>
              <w:t>.</w:t>
            </w:r>
          </w:p>
        </w:tc>
      </w:tr>
      <w:tr w:rsidR="000B580A" w14:paraId="534AA690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0E432B33" w14:textId="77777777" w:rsidR="000B580A" w:rsidRPr="00016640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41DCEBB0" w14:textId="77777777" w:rsidR="000B580A" w:rsidRDefault="000B580A" w:rsidP="008E492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Addlestone go from the park</w:t>
            </w:r>
            <w:r w:rsidR="008E4921">
              <w:rPr>
                <w:rFonts w:cs="Arial"/>
              </w:rPr>
              <w:t xml:space="preserve"> entrance</w:t>
            </w:r>
            <w:r>
              <w:rPr>
                <w:rFonts w:cs="Arial"/>
              </w:rPr>
              <w:t>.</w:t>
            </w:r>
          </w:p>
        </w:tc>
      </w:tr>
      <w:tr w:rsidR="000B580A" w14:paraId="5CDC54DF" w14:textId="77777777" w:rsidTr="00D20BC5">
        <w:trPr>
          <w:trHeight w:val="750"/>
        </w:trPr>
        <w:tc>
          <w:tcPr>
            <w:tcW w:w="2088" w:type="dxa"/>
            <w:vAlign w:val="center"/>
          </w:tcPr>
          <w:p w14:paraId="71E4C42B" w14:textId="77777777" w:rsidR="000B580A" w:rsidRPr="00016640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70468800" w14:textId="77777777" w:rsidR="000B580A" w:rsidRDefault="000B580A" w:rsidP="00FE583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Newspapers</w:t>
            </w:r>
            <w:r w:rsidR="00FE5830">
              <w:rPr>
                <w:rFonts w:cs="Arial"/>
              </w:rPr>
              <w:t xml:space="preserve"> can be</w:t>
            </w:r>
            <w:r>
              <w:rPr>
                <w:rFonts w:cs="Arial"/>
              </w:rPr>
              <w:t xml:space="preserve"> delivered to the park.</w:t>
            </w:r>
          </w:p>
        </w:tc>
      </w:tr>
      <w:tr w:rsidR="000B580A" w14:paraId="461D7A31" w14:textId="77777777" w:rsidTr="00D20BC5">
        <w:trPr>
          <w:trHeight w:val="706"/>
        </w:trPr>
        <w:tc>
          <w:tcPr>
            <w:tcW w:w="2088" w:type="dxa"/>
            <w:vAlign w:val="center"/>
          </w:tcPr>
          <w:p w14:paraId="0BB0C602" w14:textId="77777777" w:rsidR="000B580A" w:rsidRPr="00016640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17A8E9C9" w14:textId="77777777" w:rsidR="000B580A" w:rsidRDefault="000B580A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Shops are in Addlestone.</w:t>
            </w:r>
          </w:p>
        </w:tc>
      </w:tr>
      <w:tr w:rsidR="000B580A" w14:paraId="22841075" w14:textId="77777777" w:rsidTr="00D20BC5">
        <w:trPr>
          <w:trHeight w:val="1152"/>
        </w:trPr>
        <w:tc>
          <w:tcPr>
            <w:tcW w:w="2088" w:type="dxa"/>
            <w:vAlign w:val="center"/>
          </w:tcPr>
          <w:p w14:paraId="73E59026" w14:textId="77777777" w:rsidR="000B580A" w:rsidRPr="00016640" w:rsidRDefault="000B580A" w:rsidP="00D20BC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48D806A7" w14:textId="77777777" w:rsidR="000B580A" w:rsidRPr="00364D19" w:rsidRDefault="00690559" w:rsidP="00D20BC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634C1C" w:rsidRPr="000F4691" w14:paraId="5D905493" w14:textId="77777777" w:rsidTr="00D20BC5">
        <w:trPr>
          <w:trHeight w:val="432"/>
        </w:trPr>
        <w:tc>
          <w:tcPr>
            <w:tcW w:w="10682" w:type="dxa"/>
            <w:gridSpan w:val="2"/>
            <w:vAlign w:val="center"/>
          </w:tcPr>
          <w:p w14:paraId="3F781F89" w14:textId="77777777" w:rsidR="00634C1C" w:rsidRPr="000F4691" w:rsidRDefault="00634C1C" w:rsidP="00D20BC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E5EAC19" w14:textId="77777777" w:rsidR="00634C1C" w:rsidRPr="000F4691" w:rsidRDefault="00634C1C" w:rsidP="00D20BC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10FD396A" w14:textId="3894B905" w:rsidR="00634C1C" w:rsidRPr="000F4691" w:rsidRDefault="00634C1C" w:rsidP="007A2292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BA60F0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7A229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445CAD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BA60F0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050966AB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EB051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7308" w14:textId="77777777" w:rsidR="00D20BC5" w:rsidRDefault="00D20BC5" w:rsidP="00364D19">
      <w:pPr>
        <w:spacing w:after="0" w:line="240" w:lineRule="auto"/>
      </w:pPr>
      <w:r>
        <w:separator/>
      </w:r>
    </w:p>
  </w:endnote>
  <w:endnote w:type="continuationSeparator" w:id="0">
    <w:p w14:paraId="774EA0DA" w14:textId="77777777" w:rsidR="00D20BC5" w:rsidRDefault="00D20BC5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89E" w14:textId="77777777" w:rsidR="00D20BC5" w:rsidRPr="00487FAB" w:rsidRDefault="00D20BC5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754EB168" w14:textId="77777777" w:rsidR="00D20BC5" w:rsidRDefault="00D20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99A9" w14:textId="77777777" w:rsidR="00D20BC5" w:rsidRDefault="00D20BC5" w:rsidP="00364D19">
      <w:pPr>
        <w:spacing w:after="0" w:line="240" w:lineRule="auto"/>
      </w:pPr>
      <w:r>
        <w:separator/>
      </w:r>
    </w:p>
  </w:footnote>
  <w:footnote w:type="continuationSeparator" w:id="0">
    <w:p w14:paraId="5B232EA0" w14:textId="77777777" w:rsidR="00D20BC5" w:rsidRDefault="00D20BC5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78E2"/>
    <w:rsid w:val="00016640"/>
    <w:rsid w:val="000B580A"/>
    <w:rsid w:val="000E2D56"/>
    <w:rsid w:val="00133830"/>
    <w:rsid w:val="001815DE"/>
    <w:rsid w:val="0019392A"/>
    <w:rsid w:val="00196D99"/>
    <w:rsid w:val="001B1CE4"/>
    <w:rsid w:val="002070CA"/>
    <w:rsid w:val="002432FF"/>
    <w:rsid w:val="00247E50"/>
    <w:rsid w:val="00272023"/>
    <w:rsid w:val="002F0C71"/>
    <w:rsid w:val="003212E0"/>
    <w:rsid w:val="00364D19"/>
    <w:rsid w:val="00396A91"/>
    <w:rsid w:val="003E6EA2"/>
    <w:rsid w:val="004112C2"/>
    <w:rsid w:val="00414C17"/>
    <w:rsid w:val="00422579"/>
    <w:rsid w:val="00445864"/>
    <w:rsid w:val="00445CAD"/>
    <w:rsid w:val="00467CF6"/>
    <w:rsid w:val="00487FAB"/>
    <w:rsid w:val="00516DE2"/>
    <w:rsid w:val="0055784C"/>
    <w:rsid w:val="00576BA8"/>
    <w:rsid w:val="00584E72"/>
    <w:rsid w:val="00594AD3"/>
    <w:rsid w:val="005E7024"/>
    <w:rsid w:val="00634C1C"/>
    <w:rsid w:val="00690559"/>
    <w:rsid w:val="006B302A"/>
    <w:rsid w:val="006C1B67"/>
    <w:rsid w:val="00742BE1"/>
    <w:rsid w:val="00795E4C"/>
    <w:rsid w:val="007A2292"/>
    <w:rsid w:val="007C3113"/>
    <w:rsid w:val="00824D2F"/>
    <w:rsid w:val="00830ABF"/>
    <w:rsid w:val="00852C8F"/>
    <w:rsid w:val="00854EF7"/>
    <w:rsid w:val="008657D0"/>
    <w:rsid w:val="0086628B"/>
    <w:rsid w:val="008E4921"/>
    <w:rsid w:val="008E693B"/>
    <w:rsid w:val="00917479"/>
    <w:rsid w:val="0093625D"/>
    <w:rsid w:val="009420C8"/>
    <w:rsid w:val="009806C8"/>
    <w:rsid w:val="009A688B"/>
    <w:rsid w:val="009D5570"/>
    <w:rsid w:val="00A77E85"/>
    <w:rsid w:val="00A95E99"/>
    <w:rsid w:val="00AB0FDB"/>
    <w:rsid w:val="00B02B8E"/>
    <w:rsid w:val="00BA60F0"/>
    <w:rsid w:val="00BD563C"/>
    <w:rsid w:val="00BE1C90"/>
    <w:rsid w:val="00BE7B9E"/>
    <w:rsid w:val="00BF42F3"/>
    <w:rsid w:val="00BF4730"/>
    <w:rsid w:val="00C130D6"/>
    <w:rsid w:val="00C749B4"/>
    <w:rsid w:val="00C87243"/>
    <w:rsid w:val="00C9468A"/>
    <w:rsid w:val="00D20BC5"/>
    <w:rsid w:val="00D2658E"/>
    <w:rsid w:val="00D37FFB"/>
    <w:rsid w:val="00D43CF0"/>
    <w:rsid w:val="00D66B07"/>
    <w:rsid w:val="00D71807"/>
    <w:rsid w:val="00D738EC"/>
    <w:rsid w:val="00DA3761"/>
    <w:rsid w:val="00DB5035"/>
    <w:rsid w:val="00DE669B"/>
    <w:rsid w:val="00DF0A55"/>
    <w:rsid w:val="00E01FB2"/>
    <w:rsid w:val="00E25B81"/>
    <w:rsid w:val="00E549A0"/>
    <w:rsid w:val="00E92798"/>
    <w:rsid w:val="00E97F40"/>
    <w:rsid w:val="00EB0512"/>
    <w:rsid w:val="00ED3EE9"/>
    <w:rsid w:val="00EF3868"/>
    <w:rsid w:val="00F047AE"/>
    <w:rsid w:val="00F105C1"/>
    <w:rsid w:val="00F17926"/>
    <w:rsid w:val="00F23BEA"/>
    <w:rsid w:val="00F52150"/>
    <w:rsid w:val="00F55AD8"/>
    <w:rsid w:val="00F8149C"/>
    <w:rsid w:val="00FC0775"/>
    <w:rsid w:val="00FE5830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BA3D"/>
  <w15:docId w15:val="{E2657DEB-CF54-468E-BCF5-20EB1991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Squire</cp:lastModifiedBy>
  <cp:revision>52</cp:revision>
  <cp:lastPrinted>2018-01-03T16:28:00Z</cp:lastPrinted>
  <dcterms:created xsi:type="dcterms:W3CDTF">2011-02-17T11:33:00Z</dcterms:created>
  <dcterms:modified xsi:type="dcterms:W3CDTF">2023-03-13T11:05:00Z</dcterms:modified>
</cp:coreProperties>
</file>